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3C69" w14:textId="77777777" w:rsidR="00E76FD9" w:rsidRDefault="00E76FD9" w:rsidP="00E76FD9">
      <w:pPr>
        <w:rPr>
          <w:b/>
        </w:rPr>
      </w:pPr>
      <w:r>
        <w:rPr>
          <w:b/>
        </w:rPr>
        <w:t xml:space="preserve">Access Case Vignettes </w:t>
      </w:r>
    </w:p>
    <w:p w14:paraId="03153614" w14:textId="77777777" w:rsidR="00E76FD9" w:rsidRDefault="00E76FD9" w:rsidP="00E76FD9">
      <w:pPr>
        <w:pStyle w:val="NoSpacing"/>
        <w:rPr>
          <w:u w:val="single"/>
        </w:rPr>
      </w:pPr>
      <w:r>
        <w:rPr>
          <w:u w:val="single"/>
        </w:rPr>
        <w:t>Facilitator Guide</w:t>
      </w:r>
    </w:p>
    <w:p w14:paraId="5FC85E01" w14:textId="77777777" w:rsidR="00E76FD9" w:rsidRPr="00A702E5" w:rsidRDefault="00E76FD9" w:rsidP="00E76FD9">
      <w:pPr>
        <w:pStyle w:val="NoSpacing"/>
        <w:rPr>
          <w:u w:val="single"/>
        </w:rPr>
      </w:pPr>
    </w:p>
    <w:p w14:paraId="24CB23CF" w14:textId="77777777" w:rsidR="00E76FD9" w:rsidRPr="00A702E5" w:rsidRDefault="00E76FD9" w:rsidP="00E76FD9">
      <w:pPr>
        <w:pStyle w:val="NoSpacing"/>
        <w:numPr>
          <w:ilvl w:val="0"/>
          <w:numId w:val="2"/>
        </w:numPr>
      </w:pPr>
      <w:r>
        <w:rPr>
          <w:b/>
        </w:rPr>
        <w:t>Time:</w:t>
      </w:r>
      <w:r w:rsidRPr="00DE1F92">
        <w:t xml:space="preserve"> </w:t>
      </w:r>
      <w:r>
        <w:rPr>
          <w:rFonts w:eastAsia="Times New Roman" w:cs="Times New Roman"/>
        </w:rPr>
        <w:t>15 minutes per case, or 45 minutes total</w:t>
      </w:r>
    </w:p>
    <w:p w14:paraId="202985B5" w14:textId="77777777" w:rsidR="00E76FD9" w:rsidRDefault="00E76FD9" w:rsidP="00E76FD9">
      <w:pPr>
        <w:pStyle w:val="NoSpacing"/>
        <w:ind w:left="720"/>
      </w:pPr>
    </w:p>
    <w:p w14:paraId="73FB2B7F" w14:textId="77777777" w:rsidR="00E76FD9" w:rsidRPr="00A702E5" w:rsidRDefault="00E76FD9" w:rsidP="00E76FD9">
      <w:pPr>
        <w:pStyle w:val="NoSpacing"/>
        <w:numPr>
          <w:ilvl w:val="0"/>
          <w:numId w:val="2"/>
        </w:numPr>
      </w:pPr>
      <w:r>
        <w:rPr>
          <w:b/>
        </w:rPr>
        <w:t xml:space="preserve">Audience: </w:t>
      </w:r>
      <w:r>
        <w:rPr>
          <w:rFonts w:eastAsia="Times New Roman" w:cs="Times New Roman"/>
        </w:rPr>
        <w:t>option of doing session with first year residents, or mixed audience (R1-R3).  If doing mixed group, would recommend having third year residents facilitate the case discussions.</w:t>
      </w:r>
    </w:p>
    <w:p w14:paraId="05C09091" w14:textId="77777777" w:rsidR="00E76FD9" w:rsidRPr="00A702E5" w:rsidRDefault="00E76FD9" w:rsidP="00E76FD9">
      <w:pPr>
        <w:pStyle w:val="NoSpacing"/>
      </w:pPr>
    </w:p>
    <w:p w14:paraId="4776ADAB" w14:textId="77777777" w:rsidR="00E76FD9" w:rsidRPr="00B24002" w:rsidRDefault="00E76FD9" w:rsidP="00E76F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</w:rPr>
      </w:pPr>
      <w:r w:rsidRPr="008C210B">
        <w:rPr>
          <w:b/>
        </w:rPr>
        <w:t xml:space="preserve">Objective(s): </w:t>
      </w:r>
      <w:r>
        <w:rPr>
          <w:rFonts w:eastAsia="Times New Roman" w:cs="Times New Roman"/>
        </w:rPr>
        <w:t xml:space="preserve">to understand access in your clinic and common barriers faced by patients in accessing healthcare in our systems. </w:t>
      </w:r>
    </w:p>
    <w:p w14:paraId="2EF14C4B" w14:textId="77777777" w:rsidR="00E76FD9" w:rsidRPr="00A702E5" w:rsidRDefault="00E76FD9" w:rsidP="00E76FD9">
      <w:pPr>
        <w:pStyle w:val="NoSpacing"/>
      </w:pPr>
    </w:p>
    <w:p w14:paraId="7A08A48C" w14:textId="77777777" w:rsidR="00E76FD9" w:rsidRPr="009710F8" w:rsidRDefault="00E76FD9" w:rsidP="00E76FD9">
      <w:pPr>
        <w:pStyle w:val="NoSpacing"/>
        <w:numPr>
          <w:ilvl w:val="0"/>
          <w:numId w:val="2"/>
        </w:numPr>
      </w:pPr>
      <w:r>
        <w:rPr>
          <w:b/>
        </w:rPr>
        <w:t>Procedures:</w:t>
      </w:r>
      <w:r w:rsidRPr="00B2400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Given time availability, could discuss 1 case during a pre-clinic conference session &amp; modify it to reflect issues in your clinic.  Alternatively, you could do all 3 cases over a 1 </w:t>
      </w:r>
      <w:proofErr w:type="spellStart"/>
      <w:r>
        <w:rPr>
          <w:rFonts w:eastAsia="Times New Roman" w:cs="Times New Roman"/>
        </w:rPr>
        <w:t>hr</w:t>
      </w:r>
      <w:proofErr w:type="spellEnd"/>
      <w:r>
        <w:rPr>
          <w:rFonts w:eastAsia="Times New Roman" w:cs="Times New Roman"/>
        </w:rPr>
        <w:t xml:space="preserve"> session.</w:t>
      </w:r>
    </w:p>
    <w:p w14:paraId="389D7DC1" w14:textId="77777777" w:rsidR="00E76FD9" w:rsidRDefault="00E76FD9" w:rsidP="00E76FD9">
      <w:pPr>
        <w:pStyle w:val="NoSpacing"/>
      </w:pPr>
    </w:p>
    <w:p w14:paraId="0CEE285D" w14:textId="77777777" w:rsidR="00E76FD9" w:rsidRDefault="00E76FD9" w:rsidP="00E76FD9">
      <w:pPr>
        <w:pStyle w:val="NoSpacing"/>
        <w:rPr>
          <w:i/>
        </w:rPr>
      </w:pPr>
      <w:r>
        <w:rPr>
          <w:i/>
        </w:rPr>
        <w:t xml:space="preserve">ACCESS Case Vignettes </w:t>
      </w:r>
    </w:p>
    <w:p w14:paraId="278F23B2" w14:textId="77777777" w:rsidR="00E76FD9" w:rsidRDefault="00E76FD9" w:rsidP="00E76FD9">
      <w:pPr>
        <w:pStyle w:val="NoSpacing"/>
        <w:rPr>
          <w:i/>
        </w:rPr>
      </w:pPr>
    </w:p>
    <w:p w14:paraId="39592813" w14:textId="77777777" w:rsidR="00E76FD9" w:rsidRPr="007E3FA2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  <w:r w:rsidRPr="007E3FA2">
        <w:rPr>
          <w:rFonts w:eastAsia="Times New Roman" w:cs="Times New Roman"/>
          <w:b/>
        </w:rPr>
        <w:t xml:space="preserve">Case 1: Access Barriers </w:t>
      </w:r>
    </w:p>
    <w:p w14:paraId="2C633486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Your 55yo [23yo parent of a newborn] Cantonese-speaking patient comes to see you for a new patient appointment.  She [They have] has no new complaints.  She has a history of previous UTIs and is worried about how she will contact you in case symptoms recur.   </w:t>
      </w:r>
    </w:p>
    <w:p w14:paraId="74E2C76D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3B099D21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Q. How does phone access work in your clinic?  </w:t>
      </w:r>
    </w:p>
    <w:p w14:paraId="7ADDD07A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number would your patient call for an urgent complaint?  </w:t>
      </w:r>
    </w:p>
    <w:p w14:paraId="2A93E231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Will she be able to speak to someone that is Cantonese-speaking?</w:t>
      </w:r>
    </w:p>
    <w:p w14:paraId="06592DAC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can your patient do if she cannot reach someone by phone? </w:t>
      </w:r>
    </w:p>
    <w:p w14:paraId="2639D7FB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141F9061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(Discussion)</w:t>
      </w:r>
    </w:p>
    <w:p w14:paraId="19F284B3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07D987FE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Case 1 Continued:</w:t>
      </w:r>
    </w:p>
    <w:p w14:paraId="3F42E142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 month later while in clinic you get </w:t>
      </w:r>
      <w:proofErr w:type="spellStart"/>
      <w:proofErr w:type="gramStart"/>
      <w:r>
        <w:rPr>
          <w:rFonts w:eastAsia="Times New Roman" w:cs="Times New Roman"/>
        </w:rPr>
        <w:t>a</w:t>
      </w:r>
      <w:proofErr w:type="spellEnd"/>
      <w:proofErr w:type="gramEnd"/>
      <w:r>
        <w:rPr>
          <w:rFonts w:eastAsia="Times New Roman" w:cs="Times New Roman"/>
        </w:rPr>
        <w:t xml:space="preserve"> electronic message stating that your patient was admitted to the hospital for pyelonephritis.  She got IV fluids and antibiotics and quickly improved, and was discharged home.  You have a no-show while in clinic and decide to call your patient. </w:t>
      </w:r>
    </w:p>
    <w:p w14:paraId="03C86D7B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3B1CCC9E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Q.  What might you ask her about in thinking about the recent hospitalization? </w:t>
      </w:r>
    </w:p>
    <w:p w14:paraId="5AE2A76F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are some other barriers that might hinder access? </w:t>
      </w:r>
    </w:p>
    <w:p w14:paraId="443E2597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do you use the phone interpreter in clinic to call your patient?  </w:t>
      </w:r>
    </w:p>
    <w:p w14:paraId="1F34EAA6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Are there hours during which you cannot use the phone interpreter system?</w:t>
      </w:r>
    </w:p>
    <w:p w14:paraId="4C1A9F25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would you document the contents of your conversation in the medical record? </w:t>
      </w:r>
    </w:p>
    <w:p w14:paraId="34583B2A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What will you do about the other patient that no-showed to clinic?</w:t>
      </w:r>
    </w:p>
    <w:p w14:paraId="37E2833D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07D191DB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</w:p>
    <w:p w14:paraId="0DD5381B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</w:p>
    <w:p w14:paraId="47D62A77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</w:p>
    <w:p w14:paraId="7E27FC15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</w:p>
    <w:p w14:paraId="5EFE9E33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</w:p>
    <w:p w14:paraId="6907EC02" w14:textId="77777777" w:rsidR="00E76FD9" w:rsidRPr="007E3FA2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Case</w:t>
      </w:r>
      <w:r w:rsidRPr="007E3FA2">
        <w:rPr>
          <w:rFonts w:eastAsia="Times New Roman" w:cs="Times New Roman"/>
          <w:b/>
        </w:rPr>
        <w:t xml:space="preserve"> 2: Outpatient Access &amp; Enhancing Access </w:t>
      </w:r>
    </w:p>
    <w:p w14:paraId="6FF5EEA0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new patient has been assigned to your panel.  The [child has congenital heart disease and had a prolonged NICU stay] gentleman has sarcoidosis, CHF, CKD, severe depression, and poor health literacy.  </w:t>
      </w:r>
    </w:p>
    <w:p w14:paraId="48D07187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7FA01631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3B8040F3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You are concerned that [the child is not thriving given poor weight gain] he has cardiac </w:t>
      </w:r>
      <w:proofErr w:type="spellStart"/>
      <w:r>
        <w:rPr>
          <w:rFonts w:eastAsia="Times New Roman" w:cs="Times New Roman"/>
        </w:rPr>
        <w:t>sarcoid</w:t>
      </w:r>
      <w:proofErr w:type="spellEnd"/>
      <w:r>
        <w:rPr>
          <w:rFonts w:eastAsia="Times New Roman" w:cs="Times New Roman"/>
        </w:rPr>
        <w:t xml:space="preserve"> and you want to see him back quickly for follow-up. </w:t>
      </w:r>
    </w:p>
    <w:p w14:paraId="42487A60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718B9561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Q.  How big is your panel?  How would you add someone to your panel?</w:t>
      </w:r>
      <w:r>
        <w:rPr>
          <w:rFonts w:eastAsia="Times New Roman" w:cs="Times New Roman"/>
        </w:rPr>
        <w:br/>
        <w:t xml:space="preserve">How can you see what openings you have in your schedule in the future? </w:t>
      </w:r>
    </w:p>
    <w:p w14:paraId="12EEA8A5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If you cannot see your patient, what are alternative access options for your patient? </w:t>
      </w:r>
    </w:p>
    <w:p w14:paraId="68C885E6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does your clinic template look like? </w:t>
      </w:r>
    </w:p>
    <w:p w14:paraId="6FC5BF17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1040BCD6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Your patient misses the cardiac MRI, but returns for a follow-up appointment with the nurse practitioner.  He requests another cardiac MRI, refills medications, and refers him to the Better Breathing course.</w:t>
      </w:r>
    </w:p>
    <w:p w14:paraId="1E990B60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[Your patient needs to be seen by nutrition and have an urgent echocardiogram]</w:t>
      </w:r>
    </w:p>
    <w:p w14:paraId="70562D1A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350D265F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Q. What were the barriers to your patient not attending the MRI [echocardiogram]? </w:t>
      </w:r>
    </w:p>
    <w:p w14:paraId="5485E1F4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Can you provide a visit summary to your patient?   What are ways to make this most helpful to patients, particularly if he/she has low health literacy?  How does the EMR help/hurt things?   </w:t>
      </w:r>
    </w:p>
    <w:p w14:paraId="2F3A2682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64E40D09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  <w:r w:rsidRPr="007E3FA2">
        <w:rPr>
          <w:rFonts w:eastAsia="Times New Roman" w:cs="Times New Roman"/>
          <w:b/>
        </w:rPr>
        <w:t>C</w:t>
      </w:r>
      <w:r>
        <w:rPr>
          <w:rFonts w:eastAsia="Times New Roman" w:cs="Times New Roman"/>
          <w:b/>
        </w:rPr>
        <w:t>ase</w:t>
      </w:r>
      <w:r w:rsidRPr="007E3FA2">
        <w:rPr>
          <w:rFonts w:eastAsia="Times New Roman" w:cs="Times New Roman"/>
          <w:b/>
        </w:rPr>
        <w:t xml:space="preserve"> 3: Tracking Systems and Enhancing Access</w:t>
      </w:r>
    </w:p>
    <w:p w14:paraId="1BD4FADF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You are taking care of a patient in the hospital who is hoping to see you or another provider for follow-up in your clinic.  You are wondering about when the next opening is in your clinic. </w:t>
      </w:r>
    </w:p>
    <w:p w14:paraId="54A9065E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73661751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Q. What are the different metrics that are followed for access? </w:t>
      </w:r>
    </w:p>
    <w:p w14:paraId="2E997018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is the desired level of access for patients?  What access is most important? </w:t>
      </w:r>
    </w:p>
    <w:p w14:paraId="4F6E1153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does your clinic provide access to </w:t>
      </w:r>
      <w:proofErr w:type="spellStart"/>
      <w:r>
        <w:rPr>
          <w:rFonts w:eastAsia="Times New Roman" w:cs="Times New Roman"/>
        </w:rPr>
        <w:t>pateints</w:t>
      </w:r>
      <w:proofErr w:type="spellEnd"/>
      <w:r>
        <w:rPr>
          <w:rFonts w:eastAsia="Times New Roman" w:cs="Times New Roman"/>
        </w:rPr>
        <w:t xml:space="preserve"> recently admitted to the hospital? </w:t>
      </w:r>
    </w:p>
    <w:p w14:paraId="4C9B775E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are clinic-level practices developed to increase access? </w:t>
      </w:r>
    </w:p>
    <w:p w14:paraId="033F1F4D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27A091C2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You decide the patient probably shouldn't see you since you're an R3 and will be leaving soon.  You wonder about the process of transitioning patients with resident graduation.  </w:t>
      </w:r>
    </w:p>
    <w:p w14:paraId="56048F94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</w:p>
    <w:p w14:paraId="0804F1EB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Q. How does the R3 transfer process work in your clinic? </w:t>
      </w:r>
    </w:p>
    <w:p w14:paraId="40C16CFC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can a clinic prepare for all the frequent transitions of personnel? </w:t>
      </w:r>
    </w:p>
    <w:p w14:paraId="577EC441" w14:textId="77777777" w:rsidR="00E76FD9" w:rsidRDefault="00E76FD9" w:rsidP="00E76FD9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have clinics achieved the most patient-centered access? </w:t>
      </w:r>
    </w:p>
    <w:p w14:paraId="353BE11C" w14:textId="77777777" w:rsidR="00E76FD9" w:rsidRPr="00B24002" w:rsidRDefault="00E76FD9" w:rsidP="00E76FD9">
      <w:pPr>
        <w:pStyle w:val="NoSpacing"/>
      </w:pPr>
    </w:p>
    <w:p w14:paraId="5537AD70" w14:textId="77777777" w:rsidR="00E76FD9" w:rsidRDefault="00E76FD9" w:rsidP="00E76FD9">
      <w:pPr>
        <w:pStyle w:val="NoSpacing"/>
      </w:pPr>
    </w:p>
    <w:p w14:paraId="5405795A" w14:textId="77777777" w:rsidR="00E76FD9" w:rsidRDefault="00E76FD9" w:rsidP="00E76FD9">
      <w:pPr>
        <w:pStyle w:val="NoSpacing"/>
      </w:pPr>
    </w:p>
    <w:p w14:paraId="710D5F76" w14:textId="77777777" w:rsidR="00E76FD9" w:rsidRDefault="00E76FD9" w:rsidP="00E76FD9">
      <w:pPr>
        <w:pStyle w:val="NoSpacing"/>
      </w:pPr>
    </w:p>
    <w:p w14:paraId="29650D87" w14:textId="77777777" w:rsidR="009710F8" w:rsidRDefault="009710F8" w:rsidP="009710F8">
      <w:pPr>
        <w:pStyle w:val="NoSpacing"/>
      </w:pPr>
    </w:p>
    <w:p w14:paraId="24C4C1E5" w14:textId="77777777" w:rsidR="009710F8" w:rsidRDefault="009710F8" w:rsidP="009710F8">
      <w:pPr>
        <w:pStyle w:val="NoSpacing"/>
      </w:pPr>
    </w:p>
    <w:p w14:paraId="2B4F3D78" w14:textId="77777777" w:rsidR="009710F8" w:rsidRDefault="009710F8" w:rsidP="009710F8">
      <w:pPr>
        <w:pStyle w:val="NoSpacing"/>
      </w:pPr>
    </w:p>
    <w:p w14:paraId="19F5DED1" w14:textId="77777777" w:rsidR="009710F8" w:rsidRDefault="009710F8" w:rsidP="009710F8">
      <w:pPr>
        <w:pStyle w:val="NoSpacing"/>
      </w:pPr>
    </w:p>
    <w:p w14:paraId="0871B093" w14:textId="77777777" w:rsidR="009710F8" w:rsidRDefault="009710F8" w:rsidP="009710F8">
      <w:pPr>
        <w:pStyle w:val="NoSpacing"/>
      </w:pPr>
    </w:p>
    <w:p w14:paraId="0C8FB72B" w14:textId="77777777" w:rsidR="009710F8" w:rsidRDefault="009710F8" w:rsidP="009710F8">
      <w:pPr>
        <w:pStyle w:val="NoSpacing"/>
      </w:pPr>
    </w:p>
    <w:p w14:paraId="14BC4CDF" w14:textId="77777777" w:rsidR="00E76FD9" w:rsidRDefault="00E76FD9" w:rsidP="00E76FD9">
      <w:pPr>
        <w:pStyle w:val="NoSpacing"/>
        <w:rPr>
          <w:b/>
        </w:rPr>
      </w:pPr>
      <w:r>
        <w:rPr>
          <w:b/>
        </w:rPr>
        <w:lastRenderedPageBreak/>
        <w:t xml:space="preserve">Access Case Vignettes </w:t>
      </w:r>
      <w:bookmarkStart w:id="0" w:name="_GoBack"/>
      <w:bookmarkEnd w:id="0"/>
    </w:p>
    <w:p w14:paraId="16DDBF5C" w14:textId="77777777" w:rsidR="00E76FD9" w:rsidRDefault="00E76FD9" w:rsidP="00E76FD9">
      <w:pPr>
        <w:pStyle w:val="NoSpacing"/>
        <w:rPr>
          <w:b/>
        </w:rPr>
      </w:pPr>
    </w:p>
    <w:p w14:paraId="5402F6AD" w14:textId="77777777" w:rsidR="00E76FD9" w:rsidRDefault="00E76FD9" w:rsidP="00E76FD9">
      <w:pPr>
        <w:pStyle w:val="NoSpacing"/>
        <w:rPr>
          <w:u w:val="single"/>
        </w:rPr>
      </w:pPr>
      <w:r>
        <w:rPr>
          <w:u w:val="single"/>
        </w:rPr>
        <w:t>Evaluation</w:t>
      </w:r>
    </w:p>
    <w:p w14:paraId="10BE24EA" w14:textId="77777777" w:rsidR="00E76FD9" w:rsidRDefault="00E76FD9" w:rsidP="00E76FD9">
      <w:pPr>
        <w:pStyle w:val="NoSpacing"/>
        <w:rPr>
          <w:u w:val="single"/>
        </w:rPr>
      </w:pPr>
    </w:p>
    <w:p w14:paraId="699AE538" w14:textId="77777777" w:rsidR="00E76FD9" w:rsidRDefault="00E76FD9" w:rsidP="00E76FD9">
      <w:pPr>
        <w:pStyle w:val="NoSpacing"/>
      </w:pPr>
      <w:r>
        <w:t>1) I understand the ways in which we fail to provide comprehensive access for individuals that are non-English speaking, have limited literacy, or have diverse cultural backgrounds.</w:t>
      </w:r>
    </w:p>
    <w:p w14:paraId="765888BB" w14:textId="77777777" w:rsidR="00E76FD9" w:rsidRDefault="00E76FD9" w:rsidP="00E76FD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76FD9" w14:paraId="2A91B0B5" w14:textId="77777777" w:rsidTr="00942F29">
        <w:tc>
          <w:tcPr>
            <w:tcW w:w="1915" w:type="dxa"/>
          </w:tcPr>
          <w:p w14:paraId="3D8263A5" w14:textId="77777777" w:rsidR="00E76FD9" w:rsidRDefault="00E76FD9" w:rsidP="00942F29">
            <w:pPr>
              <w:pStyle w:val="NoSpacing"/>
              <w:jc w:val="center"/>
            </w:pPr>
            <w:r>
              <w:t>Strongly Disagree</w:t>
            </w:r>
          </w:p>
          <w:p w14:paraId="4E359891" w14:textId="77777777" w:rsidR="00E76FD9" w:rsidRDefault="00E76FD9" w:rsidP="00942F29">
            <w:pPr>
              <w:pStyle w:val="NoSpacing"/>
              <w:jc w:val="center"/>
            </w:pPr>
          </w:p>
        </w:tc>
        <w:tc>
          <w:tcPr>
            <w:tcW w:w="1915" w:type="dxa"/>
          </w:tcPr>
          <w:p w14:paraId="792AD487" w14:textId="77777777" w:rsidR="00E76FD9" w:rsidRDefault="00E76FD9" w:rsidP="00942F29">
            <w:pPr>
              <w:pStyle w:val="NoSpacing"/>
              <w:jc w:val="center"/>
            </w:pPr>
            <w:r>
              <w:t>Disagree</w:t>
            </w:r>
          </w:p>
        </w:tc>
        <w:tc>
          <w:tcPr>
            <w:tcW w:w="1915" w:type="dxa"/>
          </w:tcPr>
          <w:p w14:paraId="7B2847C9" w14:textId="77777777" w:rsidR="00E76FD9" w:rsidRDefault="00E76FD9" w:rsidP="00942F29">
            <w:pPr>
              <w:pStyle w:val="NoSpacing"/>
              <w:jc w:val="center"/>
            </w:pPr>
            <w:r>
              <w:t>Undecided</w:t>
            </w:r>
          </w:p>
        </w:tc>
        <w:tc>
          <w:tcPr>
            <w:tcW w:w="1915" w:type="dxa"/>
          </w:tcPr>
          <w:p w14:paraId="5356D6E4" w14:textId="77777777" w:rsidR="00E76FD9" w:rsidRDefault="00E76FD9" w:rsidP="00942F29">
            <w:pPr>
              <w:pStyle w:val="NoSpacing"/>
              <w:jc w:val="center"/>
            </w:pPr>
            <w:r>
              <w:t>Agree</w:t>
            </w:r>
          </w:p>
        </w:tc>
        <w:tc>
          <w:tcPr>
            <w:tcW w:w="1916" w:type="dxa"/>
          </w:tcPr>
          <w:p w14:paraId="457EBFD2" w14:textId="77777777" w:rsidR="00E76FD9" w:rsidRDefault="00E76FD9" w:rsidP="00942F29">
            <w:pPr>
              <w:pStyle w:val="NoSpacing"/>
              <w:jc w:val="center"/>
            </w:pPr>
            <w:r>
              <w:t>Strongly Agree</w:t>
            </w:r>
          </w:p>
        </w:tc>
      </w:tr>
      <w:tr w:rsidR="00E76FD9" w14:paraId="3F953F5B" w14:textId="77777777" w:rsidTr="00942F29">
        <w:tc>
          <w:tcPr>
            <w:tcW w:w="1915" w:type="dxa"/>
          </w:tcPr>
          <w:p w14:paraId="3234EC4B" w14:textId="77777777" w:rsidR="00E76FD9" w:rsidRDefault="00E76FD9" w:rsidP="00942F2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3359B93C" w14:textId="77777777" w:rsidR="00E76FD9" w:rsidRDefault="00E76FD9" w:rsidP="00942F2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14241149" w14:textId="77777777" w:rsidR="00E76FD9" w:rsidRDefault="00E76FD9" w:rsidP="00942F2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915" w:type="dxa"/>
          </w:tcPr>
          <w:p w14:paraId="46B7D2DE" w14:textId="77777777" w:rsidR="00E76FD9" w:rsidRDefault="00E76FD9" w:rsidP="00942F2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916" w:type="dxa"/>
          </w:tcPr>
          <w:p w14:paraId="15217514" w14:textId="77777777" w:rsidR="00E76FD9" w:rsidRDefault="00E76FD9" w:rsidP="00942F29">
            <w:pPr>
              <w:pStyle w:val="NoSpacing"/>
              <w:jc w:val="center"/>
            </w:pPr>
            <w:r>
              <w:t>5</w:t>
            </w:r>
          </w:p>
        </w:tc>
      </w:tr>
    </w:tbl>
    <w:p w14:paraId="5BAC5DA6" w14:textId="77777777" w:rsidR="00E76FD9" w:rsidRDefault="00E76FD9" w:rsidP="00E76FD9">
      <w:pPr>
        <w:pStyle w:val="NoSpacing"/>
      </w:pPr>
    </w:p>
    <w:p w14:paraId="7E91901A" w14:textId="77777777" w:rsidR="00E76FD9" w:rsidRDefault="00E76FD9" w:rsidP="00E76FD9">
      <w:pPr>
        <w:pStyle w:val="NoSpacing"/>
      </w:pPr>
    </w:p>
    <w:p w14:paraId="31523DBE" w14:textId="77777777" w:rsidR="00E76FD9" w:rsidRDefault="00E76FD9" w:rsidP="00E76FD9">
      <w:pPr>
        <w:pStyle w:val="NoSpacing"/>
      </w:pPr>
      <w:r>
        <w:t>2) This activity enhanced my understanding.</w:t>
      </w:r>
    </w:p>
    <w:p w14:paraId="3B176516" w14:textId="77777777" w:rsidR="00E76FD9" w:rsidRDefault="00E76FD9" w:rsidP="00E76FD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76FD9" w14:paraId="22F930EA" w14:textId="77777777" w:rsidTr="00942F29">
        <w:tc>
          <w:tcPr>
            <w:tcW w:w="1915" w:type="dxa"/>
          </w:tcPr>
          <w:p w14:paraId="0B8DC647" w14:textId="77777777" w:rsidR="00E76FD9" w:rsidRDefault="00E76FD9" w:rsidP="00942F29">
            <w:pPr>
              <w:pStyle w:val="NoSpacing"/>
              <w:jc w:val="center"/>
            </w:pPr>
            <w:r>
              <w:t>Strongly Disagree</w:t>
            </w:r>
          </w:p>
          <w:p w14:paraId="58FC37A1" w14:textId="77777777" w:rsidR="00E76FD9" w:rsidRDefault="00E76FD9" w:rsidP="00942F29">
            <w:pPr>
              <w:pStyle w:val="NoSpacing"/>
              <w:jc w:val="center"/>
            </w:pPr>
          </w:p>
        </w:tc>
        <w:tc>
          <w:tcPr>
            <w:tcW w:w="1915" w:type="dxa"/>
          </w:tcPr>
          <w:p w14:paraId="5EEF1146" w14:textId="77777777" w:rsidR="00E76FD9" w:rsidRDefault="00E76FD9" w:rsidP="00942F29">
            <w:pPr>
              <w:pStyle w:val="NoSpacing"/>
              <w:jc w:val="center"/>
            </w:pPr>
            <w:r>
              <w:t>Disagree</w:t>
            </w:r>
          </w:p>
        </w:tc>
        <w:tc>
          <w:tcPr>
            <w:tcW w:w="1915" w:type="dxa"/>
          </w:tcPr>
          <w:p w14:paraId="147698F4" w14:textId="77777777" w:rsidR="00E76FD9" w:rsidRDefault="00E76FD9" w:rsidP="00942F29">
            <w:pPr>
              <w:pStyle w:val="NoSpacing"/>
              <w:jc w:val="center"/>
            </w:pPr>
            <w:r>
              <w:t>Undecided</w:t>
            </w:r>
          </w:p>
        </w:tc>
        <w:tc>
          <w:tcPr>
            <w:tcW w:w="1915" w:type="dxa"/>
          </w:tcPr>
          <w:p w14:paraId="24D6790C" w14:textId="77777777" w:rsidR="00E76FD9" w:rsidRDefault="00E76FD9" w:rsidP="00942F29">
            <w:pPr>
              <w:pStyle w:val="NoSpacing"/>
              <w:jc w:val="center"/>
            </w:pPr>
            <w:r>
              <w:t>Agree</w:t>
            </w:r>
          </w:p>
        </w:tc>
        <w:tc>
          <w:tcPr>
            <w:tcW w:w="1916" w:type="dxa"/>
          </w:tcPr>
          <w:p w14:paraId="52EE81DF" w14:textId="77777777" w:rsidR="00E76FD9" w:rsidRDefault="00E76FD9" w:rsidP="00942F29">
            <w:pPr>
              <w:pStyle w:val="NoSpacing"/>
              <w:jc w:val="center"/>
            </w:pPr>
            <w:r>
              <w:t>Strongly Agree</w:t>
            </w:r>
          </w:p>
        </w:tc>
      </w:tr>
      <w:tr w:rsidR="00E76FD9" w14:paraId="73355594" w14:textId="77777777" w:rsidTr="00942F29">
        <w:tc>
          <w:tcPr>
            <w:tcW w:w="1915" w:type="dxa"/>
          </w:tcPr>
          <w:p w14:paraId="4CD63FDF" w14:textId="77777777" w:rsidR="00E76FD9" w:rsidRDefault="00E76FD9" w:rsidP="00942F2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525D370F" w14:textId="77777777" w:rsidR="00E76FD9" w:rsidRDefault="00E76FD9" w:rsidP="00942F2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5D162D9D" w14:textId="77777777" w:rsidR="00E76FD9" w:rsidRDefault="00E76FD9" w:rsidP="00942F2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915" w:type="dxa"/>
          </w:tcPr>
          <w:p w14:paraId="36E0C0D8" w14:textId="77777777" w:rsidR="00E76FD9" w:rsidRDefault="00E76FD9" w:rsidP="00942F2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916" w:type="dxa"/>
          </w:tcPr>
          <w:p w14:paraId="6752EC04" w14:textId="77777777" w:rsidR="00E76FD9" w:rsidRDefault="00E76FD9" w:rsidP="00942F29">
            <w:pPr>
              <w:pStyle w:val="NoSpacing"/>
              <w:jc w:val="center"/>
            </w:pPr>
            <w:r>
              <w:t>5</w:t>
            </w:r>
          </w:p>
        </w:tc>
      </w:tr>
    </w:tbl>
    <w:p w14:paraId="6020FFD5" w14:textId="77777777" w:rsidR="00E76FD9" w:rsidRDefault="00E76FD9" w:rsidP="00E76FD9">
      <w:pPr>
        <w:pStyle w:val="NoSpacing"/>
      </w:pPr>
    </w:p>
    <w:p w14:paraId="6D036BF6" w14:textId="77777777" w:rsidR="00E76FD9" w:rsidRDefault="00E76FD9" w:rsidP="00E76FD9">
      <w:pPr>
        <w:pStyle w:val="NoSpacing"/>
      </w:pPr>
    </w:p>
    <w:p w14:paraId="3751B78D" w14:textId="77777777" w:rsidR="00E76FD9" w:rsidRDefault="00E76FD9" w:rsidP="00E76FD9">
      <w:pPr>
        <w:pStyle w:val="NoSpacing"/>
      </w:pPr>
      <w:r>
        <w:t>3) The information from this activity is relevant to my practice.</w:t>
      </w:r>
    </w:p>
    <w:p w14:paraId="54FB6760" w14:textId="77777777" w:rsidR="00E76FD9" w:rsidRDefault="00E76FD9" w:rsidP="00E76FD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76FD9" w14:paraId="7A45D1AD" w14:textId="77777777" w:rsidTr="00942F29">
        <w:tc>
          <w:tcPr>
            <w:tcW w:w="1915" w:type="dxa"/>
          </w:tcPr>
          <w:p w14:paraId="4BB9AED5" w14:textId="77777777" w:rsidR="00E76FD9" w:rsidRDefault="00E76FD9" w:rsidP="00942F29">
            <w:pPr>
              <w:pStyle w:val="NoSpacing"/>
              <w:jc w:val="center"/>
            </w:pPr>
            <w:r>
              <w:t>Strongly Disagree</w:t>
            </w:r>
          </w:p>
          <w:p w14:paraId="2D74FCDE" w14:textId="77777777" w:rsidR="00E76FD9" w:rsidRDefault="00E76FD9" w:rsidP="00942F29">
            <w:pPr>
              <w:pStyle w:val="NoSpacing"/>
              <w:jc w:val="center"/>
            </w:pPr>
          </w:p>
        </w:tc>
        <w:tc>
          <w:tcPr>
            <w:tcW w:w="1915" w:type="dxa"/>
          </w:tcPr>
          <w:p w14:paraId="7C15A22B" w14:textId="77777777" w:rsidR="00E76FD9" w:rsidRDefault="00E76FD9" w:rsidP="00942F29">
            <w:pPr>
              <w:pStyle w:val="NoSpacing"/>
              <w:jc w:val="center"/>
            </w:pPr>
            <w:r>
              <w:t>Disagree</w:t>
            </w:r>
          </w:p>
        </w:tc>
        <w:tc>
          <w:tcPr>
            <w:tcW w:w="1915" w:type="dxa"/>
          </w:tcPr>
          <w:p w14:paraId="64FB3D6F" w14:textId="77777777" w:rsidR="00E76FD9" w:rsidRDefault="00E76FD9" w:rsidP="00942F29">
            <w:pPr>
              <w:pStyle w:val="NoSpacing"/>
              <w:jc w:val="center"/>
            </w:pPr>
            <w:r>
              <w:t>Undecided</w:t>
            </w:r>
          </w:p>
        </w:tc>
        <w:tc>
          <w:tcPr>
            <w:tcW w:w="1915" w:type="dxa"/>
          </w:tcPr>
          <w:p w14:paraId="1570C83C" w14:textId="77777777" w:rsidR="00E76FD9" w:rsidRDefault="00E76FD9" w:rsidP="00942F29">
            <w:pPr>
              <w:pStyle w:val="NoSpacing"/>
              <w:jc w:val="center"/>
            </w:pPr>
            <w:r>
              <w:t>Agree</w:t>
            </w:r>
          </w:p>
        </w:tc>
        <w:tc>
          <w:tcPr>
            <w:tcW w:w="1916" w:type="dxa"/>
          </w:tcPr>
          <w:p w14:paraId="22BE5168" w14:textId="77777777" w:rsidR="00E76FD9" w:rsidRDefault="00E76FD9" w:rsidP="00942F29">
            <w:pPr>
              <w:pStyle w:val="NoSpacing"/>
              <w:jc w:val="center"/>
            </w:pPr>
            <w:r>
              <w:t>Strongly Agree</w:t>
            </w:r>
          </w:p>
        </w:tc>
      </w:tr>
      <w:tr w:rsidR="00E76FD9" w14:paraId="00AC2D3A" w14:textId="77777777" w:rsidTr="00942F29">
        <w:tc>
          <w:tcPr>
            <w:tcW w:w="1915" w:type="dxa"/>
          </w:tcPr>
          <w:p w14:paraId="6389E450" w14:textId="77777777" w:rsidR="00E76FD9" w:rsidRDefault="00E76FD9" w:rsidP="00942F2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3C08C4AD" w14:textId="77777777" w:rsidR="00E76FD9" w:rsidRDefault="00E76FD9" w:rsidP="00942F2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376E051A" w14:textId="77777777" w:rsidR="00E76FD9" w:rsidRDefault="00E76FD9" w:rsidP="00942F2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915" w:type="dxa"/>
          </w:tcPr>
          <w:p w14:paraId="12C691A3" w14:textId="77777777" w:rsidR="00E76FD9" w:rsidRDefault="00E76FD9" w:rsidP="00942F2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916" w:type="dxa"/>
          </w:tcPr>
          <w:p w14:paraId="66CDCFDD" w14:textId="77777777" w:rsidR="00E76FD9" w:rsidRDefault="00E76FD9" w:rsidP="00942F29">
            <w:pPr>
              <w:pStyle w:val="NoSpacing"/>
              <w:jc w:val="center"/>
            </w:pPr>
            <w:r>
              <w:t>5</w:t>
            </w:r>
          </w:p>
        </w:tc>
      </w:tr>
    </w:tbl>
    <w:p w14:paraId="684FB8AC" w14:textId="77777777" w:rsidR="00E76FD9" w:rsidRPr="009710F8" w:rsidRDefault="00E76FD9" w:rsidP="00E76FD9">
      <w:pPr>
        <w:pStyle w:val="NoSpacing"/>
      </w:pPr>
    </w:p>
    <w:p w14:paraId="271FCEC8" w14:textId="77777777" w:rsidR="00E814BB" w:rsidRPr="009710F8" w:rsidRDefault="00E814BB" w:rsidP="009710F8">
      <w:pPr>
        <w:pStyle w:val="NoSpacing"/>
      </w:pPr>
    </w:p>
    <w:sectPr w:rsidR="00E814BB" w:rsidRPr="009710F8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E0311" w14:textId="77777777" w:rsidR="002D6535" w:rsidRDefault="002D6535" w:rsidP="00F042D2">
      <w:pPr>
        <w:spacing w:after="0" w:line="240" w:lineRule="auto"/>
      </w:pPr>
      <w:r>
        <w:separator/>
      </w:r>
    </w:p>
  </w:endnote>
  <w:endnote w:type="continuationSeparator" w:id="0">
    <w:p w14:paraId="75AA814C" w14:textId="77777777" w:rsidR="002D6535" w:rsidRDefault="002D6535" w:rsidP="00F0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B6BBA" w14:textId="6F7B051A" w:rsidR="00022D1C" w:rsidRPr="00022D1C" w:rsidRDefault="00E76FD9" w:rsidP="00022D1C">
    <w:pPr>
      <w:pStyle w:val="Footer"/>
      <w:rPr>
        <w:color w:val="B4B9BF"/>
        <w:sz w:val="20"/>
        <w:szCs w:val="20"/>
      </w:rPr>
    </w:pPr>
    <w:r>
      <w:rPr>
        <w:color w:val="B4B9BF"/>
        <w:sz w:val="20"/>
        <w:szCs w:val="20"/>
      </w:rPr>
      <w:t>Soraya Azari, MD</w:t>
    </w:r>
  </w:p>
  <w:p w14:paraId="65F07138" w14:textId="77777777" w:rsidR="00022D1C" w:rsidRPr="00022D1C" w:rsidRDefault="00022D1C" w:rsidP="00022D1C">
    <w:pPr>
      <w:pStyle w:val="Footer"/>
      <w:rPr>
        <w:color w:val="B4B9BF"/>
        <w:sz w:val="20"/>
        <w:szCs w:val="20"/>
      </w:rPr>
    </w:pPr>
    <w:r w:rsidRPr="00022D1C">
      <w:rPr>
        <w:color w:val="B4B9BF"/>
        <w:sz w:val="20"/>
        <w:szCs w:val="20"/>
      </w:rPr>
      <w:t>Education Team</w:t>
    </w:r>
  </w:p>
  <w:p w14:paraId="54346974" w14:textId="1103A369" w:rsidR="00022D1C" w:rsidRPr="00022D1C" w:rsidRDefault="00E76FD9" w:rsidP="00022D1C">
    <w:pPr>
      <w:pStyle w:val="Footer"/>
      <w:rPr>
        <w:color w:val="B4B9BF"/>
        <w:sz w:val="20"/>
        <w:szCs w:val="20"/>
      </w:rPr>
    </w:pPr>
    <w:r>
      <w:rPr>
        <w:color w:val="B4B9BF"/>
        <w:sz w:val="20"/>
        <w:szCs w:val="20"/>
      </w:rPr>
      <w:t xml:space="preserve">UCSF Division of General Internal Medicine at Zuckerberg San Francisco General Hospital </w:t>
    </w:r>
  </w:p>
  <w:p w14:paraId="79BE677F" w14:textId="77777777" w:rsidR="00022D1C" w:rsidRPr="00022D1C" w:rsidRDefault="00022D1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C02A6" w14:textId="77777777" w:rsidR="002D6535" w:rsidRDefault="002D6535" w:rsidP="00F042D2">
      <w:pPr>
        <w:spacing w:after="0" w:line="240" w:lineRule="auto"/>
      </w:pPr>
      <w:r>
        <w:separator/>
      </w:r>
    </w:p>
  </w:footnote>
  <w:footnote w:type="continuationSeparator" w:id="0">
    <w:p w14:paraId="1F72DA43" w14:textId="77777777" w:rsidR="002D6535" w:rsidRDefault="002D6535" w:rsidP="00F0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2C7A7" w14:textId="77777777" w:rsidR="00022D1C" w:rsidRDefault="002D6535">
    <w:pPr>
      <w:pStyle w:val="Header"/>
    </w:pPr>
    <w:sdt>
      <w:sdtPr>
        <w:id w:val="171999623"/>
        <w:placeholder>
          <w:docPart w:val="FE6C27E603225B439B96256BD3AA5422"/>
        </w:placeholder>
        <w:temporary/>
        <w:showingPlcHdr/>
      </w:sdtPr>
      <w:sdtEndPr/>
      <w:sdtContent>
        <w:r w:rsidR="00022D1C">
          <w:t>[Type text]</w:t>
        </w:r>
      </w:sdtContent>
    </w:sdt>
    <w:r w:rsidR="00022D1C">
      <w:ptab w:relativeTo="margin" w:alignment="center" w:leader="none"/>
    </w:r>
    <w:sdt>
      <w:sdtPr>
        <w:id w:val="171999624"/>
        <w:placeholder>
          <w:docPart w:val="5FA54765588D7441A437BBFDA18D40FD"/>
        </w:placeholder>
        <w:temporary/>
        <w:showingPlcHdr/>
      </w:sdtPr>
      <w:sdtEndPr/>
      <w:sdtContent>
        <w:r w:rsidR="00022D1C">
          <w:t>[Type text]</w:t>
        </w:r>
      </w:sdtContent>
    </w:sdt>
    <w:r w:rsidR="00022D1C">
      <w:ptab w:relativeTo="margin" w:alignment="right" w:leader="none"/>
    </w:r>
    <w:sdt>
      <w:sdtPr>
        <w:id w:val="171999625"/>
        <w:placeholder>
          <w:docPart w:val="A4AD073DAE65894BA4749EAE8333092A"/>
        </w:placeholder>
        <w:temporary/>
        <w:showingPlcHdr/>
      </w:sdtPr>
      <w:sdtEndPr/>
      <w:sdtContent>
        <w:r w:rsidR="00022D1C">
          <w:t>[Type text]</w:t>
        </w:r>
      </w:sdtContent>
    </w:sdt>
  </w:p>
  <w:p w14:paraId="00A23840" w14:textId="77777777" w:rsidR="00022D1C" w:rsidRDefault="00022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015C" w14:textId="77777777" w:rsidR="00F042D2" w:rsidRDefault="00022D1C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7C5A04" wp14:editId="7196139B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653415" cy="653415"/>
          <wp:effectExtent l="0" t="0" r="6985" b="698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es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7B1E71" wp14:editId="7F4B95B6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14300" cy="351155"/>
          <wp:effectExtent l="0" t="0" r="1270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ubleheli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b/>
      </w:rPr>
      <w:t>The UCSF Double Helix Curriculum:</w:t>
    </w:r>
  </w:p>
  <w:p w14:paraId="3028F313" w14:textId="77777777" w:rsidR="00022D1C" w:rsidRPr="00022D1C" w:rsidRDefault="00022D1C">
    <w:pPr>
      <w:pStyle w:val="Header"/>
    </w:pPr>
    <w:r>
      <w:rPr>
        <w:b/>
      </w:rPr>
      <w:t xml:space="preserve">     </w:t>
    </w:r>
    <w:r>
      <w:t>Transformation of High-Performing Primary Care in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351B"/>
    <w:multiLevelType w:val="hybridMultilevel"/>
    <w:tmpl w:val="F290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E7A1F"/>
    <w:multiLevelType w:val="hybridMultilevel"/>
    <w:tmpl w:val="90A0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04D4"/>
    <w:multiLevelType w:val="hybridMultilevel"/>
    <w:tmpl w:val="D6B6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D2"/>
    <w:rsid w:val="00022D1C"/>
    <w:rsid w:val="002B2131"/>
    <w:rsid w:val="002D6535"/>
    <w:rsid w:val="0037176D"/>
    <w:rsid w:val="003D727C"/>
    <w:rsid w:val="004B05BC"/>
    <w:rsid w:val="006B4A19"/>
    <w:rsid w:val="008C210B"/>
    <w:rsid w:val="009710F8"/>
    <w:rsid w:val="00A702E5"/>
    <w:rsid w:val="00D83B4F"/>
    <w:rsid w:val="00DE1F92"/>
    <w:rsid w:val="00E0678A"/>
    <w:rsid w:val="00E2691E"/>
    <w:rsid w:val="00E76FD9"/>
    <w:rsid w:val="00E814BB"/>
    <w:rsid w:val="00F0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103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D2"/>
  </w:style>
  <w:style w:type="paragraph" w:styleId="Footer">
    <w:name w:val="footer"/>
    <w:basedOn w:val="Normal"/>
    <w:link w:val="FooterChar"/>
    <w:uiPriority w:val="99"/>
    <w:unhideWhenUsed/>
    <w:rsid w:val="00F0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D2"/>
  </w:style>
  <w:style w:type="paragraph" w:styleId="BalloonText">
    <w:name w:val="Balloon Text"/>
    <w:basedOn w:val="Normal"/>
    <w:link w:val="BalloonTextChar"/>
    <w:uiPriority w:val="99"/>
    <w:semiHidden/>
    <w:unhideWhenUsed/>
    <w:rsid w:val="00F0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2D2"/>
    <w:pPr>
      <w:ind w:left="720"/>
      <w:contextualSpacing/>
    </w:pPr>
  </w:style>
  <w:style w:type="paragraph" w:styleId="NoSpacing">
    <w:name w:val="No Spacing"/>
    <w:uiPriority w:val="1"/>
    <w:qFormat/>
    <w:rsid w:val="00A702E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7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D2"/>
  </w:style>
  <w:style w:type="paragraph" w:styleId="Footer">
    <w:name w:val="footer"/>
    <w:basedOn w:val="Normal"/>
    <w:link w:val="FooterChar"/>
    <w:uiPriority w:val="99"/>
    <w:unhideWhenUsed/>
    <w:rsid w:val="00F0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D2"/>
  </w:style>
  <w:style w:type="paragraph" w:styleId="BalloonText">
    <w:name w:val="Balloon Text"/>
    <w:basedOn w:val="Normal"/>
    <w:link w:val="BalloonTextChar"/>
    <w:uiPriority w:val="99"/>
    <w:semiHidden/>
    <w:unhideWhenUsed/>
    <w:rsid w:val="00F0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2D2"/>
    <w:pPr>
      <w:ind w:left="720"/>
      <w:contextualSpacing/>
    </w:pPr>
  </w:style>
  <w:style w:type="paragraph" w:styleId="NoSpacing">
    <w:name w:val="No Spacing"/>
    <w:uiPriority w:val="1"/>
    <w:qFormat/>
    <w:rsid w:val="00A702E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7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6C27E603225B439B96256BD3AA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A00A-5EE6-CB45-BAEF-BC968B63206A}"/>
      </w:docPartPr>
      <w:docPartBody>
        <w:p w:rsidR="00641BF0" w:rsidRDefault="00FD7F08" w:rsidP="00FD7F08">
          <w:pPr>
            <w:pStyle w:val="FE6C27E603225B439B96256BD3AA5422"/>
          </w:pPr>
          <w:r>
            <w:t>[Type text]</w:t>
          </w:r>
        </w:p>
      </w:docPartBody>
    </w:docPart>
    <w:docPart>
      <w:docPartPr>
        <w:name w:val="5FA54765588D7441A437BBFDA18D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E9BB-76AF-F642-ABB7-3C1434D973E4}"/>
      </w:docPartPr>
      <w:docPartBody>
        <w:p w:rsidR="00641BF0" w:rsidRDefault="00FD7F08" w:rsidP="00FD7F08">
          <w:pPr>
            <w:pStyle w:val="5FA54765588D7441A437BBFDA18D40FD"/>
          </w:pPr>
          <w:r>
            <w:t>[Type text]</w:t>
          </w:r>
        </w:p>
      </w:docPartBody>
    </w:docPart>
    <w:docPart>
      <w:docPartPr>
        <w:name w:val="A4AD073DAE65894BA4749EAE8333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C889-EF94-8041-B1E5-3B638511FE3B}"/>
      </w:docPartPr>
      <w:docPartBody>
        <w:p w:rsidR="00641BF0" w:rsidRDefault="00FD7F08" w:rsidP="00FD7F08">
          <w:pPr>
            <w:pStyle w:val="A4AD073DAE65894BA4749EAE8333092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08"/>
    <w:rsid w:val="002E1385"/>
    <w:rsid w:val="00641BF0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C27E603225B439B96256BD3AA5422">
    <w:name w:val="FE6C27E603225B439B96256BD3AA5422"/>
    <w:rsid w:val="00FD7F08"/>
  </w:style>
  <w:style w:type="paragraph" w:customStyle="1" w:styleId="5FA54765588D7441A437BBFDA18D40FD">
    <w:name w:val="5FA54765588D7441A437BBFDA18D40FD"/>
    <w:rsid w:val="00FD7F08"/>
  </w:style>
  <w:style w:type="paragraph" w:customStyle="1" w:styleId="A4AD073DAE65894BA4749EAE8333092A">
    <w:name w:val="A4AD073DAE65894BA4749EAE8333092A"/>
    <w:rsid w:val="00FD7F08"/>
  </w:style>
  <w:style w:type="paragraph" w:customStyle="1" w:styleId="0350DAD15DB1794298ABC25A900CF636">
    <w:name w:val="0350DAD15DB1794298ABC25A900CF636"/>
    <w:rsid w:val="00FD7F08"/>
  </w:style>
  <w:style w:type="paragraph" w:customStyle="1" w:styleId="30B0D514B6141C40A4A5A440AF0A363B">
    <w:name w:val="30B0D514B6141C40A4A5A440AF0A363B"/>
    <w:rsid w:val="00FD7F08"/>
  </w:style>
  <w:style w:type="paragraph" w:customStyle="1" w:styleId="FACCDFBBC866FD4790E3DC4A425D0C58">
    <w:name w:val="FACCDFBBC866FD4790E3DC4A425D0C58"/>
    <w:rsid w:val="00FD7F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C27E603225B439B96256BD3AA5422">
    <w:name w:val="FE6C27E603225B439B96256BD3AA5422"/>
    <w:rsid w:val="00FD7F08"/>
  </w:style>
  <w:style w:type="paragraph" w:customStyle="1" w:styleId="5FA54765588D7441A437BBFDA18D40FD">
    <w:name w:val="5FA54765588D7441A437BBFDA18D40FD"/>
    <w:rsid w:val="00FD7F08"/>
  </w:style>
  <w:style w:type="paragraph" w:customStyle="1" w:styleId="A4AD073DAE65894BA4749EAE8333092A">
    <w:name w:val="A4AD073DAE65894BA4749EAE8333092A"/>
    <w:rsid w:val="00FD7F08"/>
  </w:style>
  <w:style w:type="paragraph" w:customStyle="1" w:styleId="0350DAD15DB1794298ABC25A900CF636">
    <w:name w:val="0350DAD15DB1794298ABC25A900CF636"/>
    <w:rsid w:val="00FD7F08"/>
  </w:style>
  <w:style w:type="paragraph" w:customStyle="1" w:styleId="30B0D514B6141C40A4A5A440AF0A363B">
    <w:name w:val="30B0D514B6141C40A4A5A440AF0A363B"/>
    <w:rsid w:val="00FD7F08"/>
  </w:style>
  <w:style w:type="paragraph" w:customStyle="1" w:styleId="FACCDFBBC866FD4790E3DC4A425D0C58">
    <w:name w:val="FACCDFBBC866FD4790E3DC4A425D0C58"/>
    <w:rsid w:val="00FD7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E6FFD-6851-4C4D-B3D5-15B37B44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UCSF</dc:creator>
  <cp:lastModifiedBy>UCSF</cp:lastModifiedBy>
  <cp:revision>2</cp:revision>
  <dcterms:created xsi:type="dcterms:W3CDTF">2017-01-17T18:42:00Z</dcterms:created>
  <dcterms:modified xsi:type="dcterms:W3CDTF">2017-01-17T18:42:00Z</dcterms:modified>
</cp:coreProperties>
</file>