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A15E" w14:textId="77777777" w:rsidR="00D11EB5" w:rsidRDefault="00D11EB5" w:rsidP="00D11EB5">
      <w:pPr>
        <w:rPr>
          <w:b/>
        </w:rPr>
      </w:pPr>
      <w:r>
        <w:rPr>
          <w:b/>
        </w:rPr>
        <w:t xml:space="preserve">Know Your Access </w:t>
      </w:r>
    </w:p>
    <w:p w14:paraId="529A57B5" w14:textId="77777777" w:rsidR="00D11EB5" w:rsidRDefault="00D11EB5" w:rsidP="00D11EB5">
      <w:pPr>
        <w:pStyle w:val="NoSpacing"/>
        <w:rPr>
          <w:u w:val="single"/>
        </w:rPr>
      </w:pPr>
      <w:r>
        <w:rPr>
          <w:u w:val="single"/>
        </w:rPr>
        <w:t>Facilitator Guide</w:t>
      </w:r>
    </w:p>
    <w:p w14:paraId="06239C50" w14:textId="77777777" w:rsidR="00D11EB5" w:rsidRPr="00A702E5" w:rsidRDefault="00D11EB5" w:rsidP="00D11EB5">
      <w:pPr>
        <w:pStyle w:val="NoSpacing"/>
        <w:rPr>
          <w:u w:val="single"/>
        </w:rPr>
      </w:pPr>
    </w:p>
    <w:p w14:paraId="1F306F93" w14:textId="77777777" w:rsidR="00D11EB5" w:rsidRPr="00A702E5" w:rsidRDefault="00D11EB5" w:rsidP="00D11EB5">
      <w:pPr>
        <w:pStyle w:val="NoSpacing"/>
        <w:numPr>
          <w:ilvl w:val="0"/>
          <w:numId w:val="2"/>
        </w:numPr>
      </w:pPr>
      <w:r>
        <w:rPr>
          <w:b/>
        </w:rPr>
        <w:t>Time:</w:t>
      </w:r>
      <w:r w:rsidRPr="00DE1F92">
        <w:t xml:space="preserve"> </w:t>
      </w:r>
      <w:r>
        <w:t>30 minutes, including debrief</w:t>
      </w:r>
    </w:p>
    <w:p w14:paraId="20350AF5" w14:textId="77777777" w:rsidR="00D11EB5" w:rsidRDefault="00D11EB5" w:rsidP="00D11EB5">
      <w:pPr>
        <w:pStyle w:val="NoSpacing"/>
        <w:ind w:left="720"/>
      </w:pPr>
    </w:p>
    <w:p w14:paraId="2DF22775" w14:textId="77777777" w:rsidR="00D11EB5" w:rsidRPr="00A702E5" w:rsidRDefault="00D11EB5" w:rsidP="00D11EB5">
      <w:pPr>
        <w:pStyle w:val="NoSpacing"/>
        <w:numPr>
          <w:ilvl w:val="0"/>
          <w:numId w:val="2"/>
        </w:numPr>
      </w:pPr>
      <w:r>
        <w:rPr>
          <w:b/>
        </w:rPr>
        <w:t xml:space="preserve">Audience: </w:t>
      </w:r>
      <w:r>
        <w:t>late 1st year or 2nd year residents</w:t>
      </w:r>
    </w:p>
    <w:p w14:paraId="3DE06DCC" w14:textId="77777777" w:rsidR="00D11EB5" w:rsidRPr="00A702E5" w:rsidRDefault="00D11EB5" w:rsidP="00D11EB5">
      <w:pPr>
        <w:pStyle w:val="NoSpacing"/>
      </w:pPr>
    </w:p>
    <w:p w14:paraId="65E11116" w14:textId="77777777" w:rsidR="00D11EB5" w:rsidRPr="00A702E5" w:rsidRDefault="00D11EB5" w:rsidP="00D11EB5">
      <w:pPr>
        <w:pStyle w:val="NoSpacing"/>
        <w:numPr>
          <w:ilvl w:val="0"/>
          <w:numId w:val="2"/>
        </w:numPr>
      </w:pPr>
      <w:r>
        <w:rPr>
          <w:b/>
        </w:rPr>
        <w:t xml:space="preserve">Objectives: </w:t>
      </w:r>
      <w:r>
        <w:t>to understand your primary care clinic's access and how this differs from others, and changes over time</w:t>
      </w:r>
    </w:p>
    <w:p w14:paraId="06595B01" w14:textId="77777777" w:rsidR="00D11EB5" w:rsidRPr="00A702E5" w:rsidRDefault="00D11EB5" w:rsidP="00D11EB5">
      <w:pPr>
        <w:pStyle w:val="NoSpacing"/>
      </w:pPr>
    </w:p>
    <w:p w14:paraId="2D04D8F5" w14:textId="77777777" w:rsidR="00D11EB5" w:rsidRDefault="00D11EB5" w:rsidP="00D11EB5">
      <w:pPr>
        <w:pStyle w:val="NoSpacing"/>
        <w:numPr>
          <w:ilvl w:val="0"/>
          <w:numId w:val="2"/>
        </w:numPr>
      </w:pPr>
      <w:r>
        <w:rPr>
          <w:b/>
        </w:rPr>
        <w:t xml:space="preserve">Procedures: </w:t>
      </w:r>
      <w:r>
        <w:t xml:space="preserve">Pre-clinic conference discussion, or part of structured didactics.  Facilitator could be older peer, but this often brings up structural questions about clinic that are usually better suited for the clinic's medical director. </w:t>
      </w:r>
    </w:p>
    <w:p w14:paraId="2E03ED32" w14:textId="77777777" w:rsidR="00D11EB5" w:rsidRDefault="00D11EB5" w:rsidP="00D11EB5">
      <w:pPr>
        <w:pStyle w:val="NoSpacing"/>
      </w:pPr>
    </w:p>
    <w:p w14:paraId="67AF67DC" w14:textId="77777777" w:rsidR="00D11EB5" w:rsidRDefault="00D11EB5" w:rsidP="00D11EB5">
      <w:pPr>
        <w:spacing w:after="0" w:line="240" w:lineRule="auto"/>
        <w:rPr>
          <w:u w:val="single"/>
        </w:rPr>
      </w:pPr>
      <w:r w:rsidRPr="00A76D08">
        <w:rPr>
          <w:u w:val="single"/>
        </w:rPr>
        <w:t>Activity</w:t>
      </w:r>
    </w:p>
    <w:p w14:paraId="4F3054D0" w14:textId="77777777" w:rsidR="00D11EB5" w:rsidRDefault="00D11EB5" w:rsidP="00D11EB5">
      <w:pPr>
        <w:spacing w:after="0" w:line="240" w:lineRule="auto"/>
      </w:pPr>
      <w:r w:rsidRPr="00F4459C">
        <w:rPr>
          <w:i/>
        </w:rPr>
        <w:t>Pair-Share</w:t>
      </w:r>
      <w:r>
        <w:t xml:space="preserve">: Divide into pairs and try and answer the following 10 questions in ~15 minutes.  Pool your collective knowledge.  No phoning a friend for the answers. </w:t>
      </w:r>
    </w:p>
    <w:p w14:paraId="0C328D00" w14:textId="77777777" w:rsidR="00D11EB5" w:rsidRPr="00AD2472" w:rsidRDefault="00D11EB5" w:rsidP="00D11EB5">
      <w:pPr>
        <w:spacing w:after="0" w:line="240" w:lineRule="auto"/>
        <w:rPr>
          <w:u w:val="single"/>
        </w:rPr>
      </w:pPr>
    </w:p>
    <w:p w14:paraId="0A57FFE3" w14:textId="77777777" w:rsidR="00D11EB5" w:rsidRDefault="00D11EB5" w:rsidP="00D11EB5">
      <w:r>
        <w:t xml:space="preserve">Q1. How many patients are served by your clinic? </w:t>
      </w:r>
    </w:p>
    <w:p w14:paraId="6D00547F" w14:textId="77777777" w:rsidR="00D11EB5" w:rsidRDefault="00D11EB5" w:rsidP="00D11EB5">
      <w:r>
        <w:t>Q2. What is the total number of patients in the R1 panel (i.e., by the end of the year)</w:t>
      </w:r>
      <w:proofErr w:type="gramStart"/>
      <w:r>
        <w:t>?,</w:t>
      </w:r>
      <w:proofErr w:type="gramEnd"/>
      <w:r>
        <w:t xml:space="preserve"> the R2 panel?, the R3 panel?</w:t>
      </w:r>
    </w:p>
    <w:p w14:paraId="40B66C58" w14:textId="77777777" w:rsidR="00D11EB5" w:rsidRDefault="00D11EB5" w:rsidP="00D11EB5">
      <w:r>
        <w:t xml:space="preserve">Q3. How do you find the patients that are in your panel? </w:t>
      </w:r>
    </w:p>
    <w:p w14:paraId="31674E80" w14:textId="77777777" w:rsidR="00D11EB5" w:rsidRDefault="00D11EB5" w:rsidP="00D11EB5">
      <w:r>
        <w:t>Q4. How are you assigned new patients?  Who is in charge of that process?</w:t>
      </w:r>
    </w:p>
    <w:p w14:paraId="633B58DE" w14:textId="77777777" w:rsidR="00D11EB5" w:rsidRDefault="00D11EB5" w:rsidP="00D11EB5">
      <w:r>
        <w:t xml:space="preserve">Q5. How far in advance is your clinic opened for scheduling? </w:t>
      </w:r>
    </w:p>
    <w:p w14:paraId="76CD2AB7" w14:textId="77777777" w:rsidR="00D11EB5" w:rsidRDefault="00D11EB5" w:rsidP="00D11EB5">
      <w:r>
        <w:t xml:space="preserve">Q6. What type of template is used to schedule your patients? </w:t>
      </w:r>
    </w:p>
    <w:p w14:paraId="37ECA82A" w14:textId="77777777" w:rsidR="00D11EB5" w:rsidRDefault="00D11EB5" w:rsidP="00D11EB5">
      <w:r>
        <w:t xml:space="preserve">Q7. What is the average size of an attending's panel per half day of clinic? </w:t>
      </w:r>
    </w:p>
    <w:p w14:paraId="0CFC2C80" w14:textId="77777777" w:rsidR="00D11EB5" w:rsidRDefault="00D11EB5" w:rsidP="00D11EB5">
      <w:r>
        <w:t xml:space="preserve">Q8. What is panel-weighting and does that happen in your clinic? </w:t>
      </w:r>
    </w:p>
    <w:p w14:paraId="4143EACA" w14:textId="77777777" w:rsidR="00D11EB5" w:rsidRDefault="00D11EB5" w:rsidP="00D11EB5">
      <w:r>
        <w:t xml:space="preserve">Q9. Are there any examples of advanced access in your clinic? </w:t>
      </w:r>
    </w:p>
    <w:p w14:paraId="65931B60" w14:textId="77777777" w:rsidR="00D11EB5" w:rsidRDefault="00D11EB5" w:rsidP="00D11EB5">
      <w:r>
        <w:t xml:space="preserve">Q10. Can you name a clinic that uses advanced access? </w:t>
      </w:r>
    </w:p>
    <w:p w14:paraId="578E2377" w14:textId="77777777" w:rsidR="00D11EB5" w:rsidRDefault="00D11EB5" w:rsidP="00D11EB5">
      <w:pPr>
        <w:spacing w:after="0"/>
      </w:pPr>
      <w:r w:rsidRPr="009D0A06">
        <w:rPr>
          <w:i/>
        </w:rPr>
        <w:t>Group Discussion</w:t>
      </w:r>
      <w:r>
        <w:t>:</w:t>
      </w:r>
    </w:p>
    <w:p w14:paraId="02F37429" w14:textId="77777777" w:rsidR="00D11EB5" w:rsidRDefault="00D11EB5" w:rsidP="00D11EB5">
      <w:pPr>
        <w:spacing w:after="0"/>
      </w:pPr>
      <w:r>
        <w:t>- Reveal answers (consider doing honor-method self-scoring of answers to keep learners interested)</w:t>
      </w:r>
    </w:p>
    <w:p w14:paraId="50BBF9E6" w14:textId="77777777" w:rsidR="00D11EB5" w:rsidRDefault="00D11EB5" w:rsidP="00D11EB5">
      <w:pPr>
        <w:spacing w:after="0"/>
      </w:pPr>
      <w:r>
        <w:t xml:space="preserve">- Facilitator: explain the answers and provide further elaboration if needed.  This can often lead to greater structural questions about clinic, so this can sometimes be best handled by the medical director of clinic or associate medical director.  It's important for residents to see how much thought/planning goes into these decisions! </w:t>
      </w:r>
    </w:p>
    <w:p w14:paraId="0F2842A0" w14:textId="77777777" w:rsidR="009710F8" w:rsidRDefault="009710F8" w:rsidP="009710F8">
      <w:pPr>
        <w:pStyle w:val="NoSpacing"/>
      </w:pPr>
    </w:p>
    <w:p w14:paraId="6DCA38AF" w14:textId="77777777" w:rsidR="00D11EB5" w:rsidRDefault="00D11EB5" w:rsidP="00D11EB5">
      <w:pPr>
        <w:rPr>
          <w:b/>
        </w:rPr>
      </w:pPr>
      <w:bookmarkStart w:id="0" w:name="_GoBack"/>
      <w:bookmarkEnd w:id="0"/>
      <w:r>
        <w:rPr>
          <w:b/>
        </w:rPr>
        <w:lastRenderedPageBreak/>
        <w:t xml:space="preserve">Know Your Access </w:t>
      </w:r>
    </w:p>
    <w:p w14:paraId="01ED886A" w14:textId="77777777" w:rsidR="00D11EB5" w:rsidRDefault="00D11EB5" w:rsidP="00D11EB5">
      <w:pPr>
        <w:pStyle w:val="NoSpacing"/>
        <w:rPr>
          <w:u w:val="single"/>
        </w:rPr>
      </w:pPr>
      <w:r>
        <w:rPr>
          <w:u w:val="single"/>
        </w:rPr>
        <w:t>Evaluation</w:t>
      </w:r>
    </w:p>
    <w:p w14:paraId="10970122" w14:textId="77777777" w:rsidR="00D11EB5" w:rsidRDefault="00D11EB5" w:rsidP="00D11EB5">
      <w:pPr>
        <w:pStyle w:val="NoSpacing"/>
        <w:rPr>
          <w:u w:val="single"/>
        </w:rPr>
      </w:pPr>
    </w:p>
    <w:p w14:paraId="0C1338CB" w14:textId="77777777" w:rsidR="00D11EB5" w:rsidRDefault="00D11EB5" w:rsidP="00D11EB5">
      <w:pPr>
        <w:pStyle w:val="NoSpacing"/>
      </w:pPr>
      <w:r>
        <w:t>1) I understand the importance of outpatient access to care and how it impacts patient health and wellness, satisfaction, ED/hospital utilization, and overall system costs.</w:t>
      </w:r>
    </w:p>
    <w:p w14:paraId="58767A25" w14:textId="77777777" w:rsidR="00D11EB5" w:rsidRDefault="00D11EB5" w:rsidP="00D11E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D11EB5" w14:paraId="5755E415" w14:textId="77777777" w:rsidTr="002B7760">
        <w:tc>
          <w:tcPr>
            <w:tcW w:w="1915" w:type="dxa"/>
          </w:tcPr>
          <w:p w14:paraId="5438B256" w14:textId="77777777" w:rsidR="00D11EB5" w:rsidRDefault="00D11EB5" w:rsidP="002B7760">
            <w:pPr>
              <w:pStyle w:val="NoSpacing"/>
              <w:jc w:val="center"/>
            </w:pPr>
            <w:r>
              <w:t>Strongly Disagree</w:t>
            </w:r>
          </w:p>
          <w:p w14:paraId="1E1E5F5E" w14:textId="77777777" w:rsidR="00D11EB5" w:rsidRDefault="00D11EB5" w:rsidP="002B7760">
            <w:pPr>
              <w:pStyle w:val="NoSpacing"/>
              <w:jc w:val="center"/>
            </w:pPr>
          </w:p>
        </w:tc>
        <w:tc>
          <w:tcPr>
            <w:tcW w:w="1915" w:type="dxa"/>
          </w:tcPr>
          <w:p w14:paraId="0E3D4FA0" w14:textId="77777777" w:rsidR="00D11EB5" w:rsidRDefault="00D11EB5" w:rsidP="002B7760">
            <w:pPr>
              <w:pStyle w:val="NoSpacing"/>
              <w:jc w:val="center"/>
            </w:pPr>
            <w:r>
              <w:t>Disagree</w:t>
            </w:r>
          </w:p>
        </w:tc>
        <w:tc>
          <w:tcPr>
            <w:tcW w:w="1915" w:type="dxa"/>
          </w:tcPr>
          <w:p w14:paraId="6124629F" w14:textId="77777777" w:rsidR="00D11EB5" w:rsidRDefault="00D11EB5" w:rsidP="002B7760">
            <w:pPr>
              <w:pStyle w:val="NoSpacing"/>
              <w:jc w:val="center"/>
            </w:pPr>
            <w:r>
              <w:t>Undecided</w:t>
            </w:r>
          </w:p>
        </w:tc>
        <w:tc>
          <w:tcPr>
            <w:tcW w:w="1915" w:type="dxa"/>
          </w:tcPr>
          <w:p w14:paraId="4BE86220" w14:textId="77777777" w:rsidR="00D11EB5" w:rsidRDefault="00D11EB5" w:rsidP="002B7760">
            <w:pPr>
              <w:pStyle w:val="NoSpacing"/>
              <w:jc w:val="center"/>
            </w:pPr>
            <w:r>
              <w:t>Agree</w:t>
            </w:r>
          </w:p>
        </w:tc>
        <w:tc>
          <w:tcPr>
            <w:tcW w:w="1916" w:type="dxa"/>
          </w:tcPr>
          <w:p w14:paraId="2D0942D6" w14:textId="77777777" w:rsidR="00D11EB5" w:rsidRDefault="00D11EB5" w:rsidP="002B7760">
            <w:pPr>
              <w:pStyle w:val="NoSpacing"/>
              <w:jc w:val="center"/>
            </w:pPr>
            <w:r>
              <w:t>Strongly Agree</w:t>
            </w:r>
          </w:p>
        </w:tc>
      </w:tr>
      <w:tr w:rsidR="00D11EB5" w14:paraId="628980B5" w14:textId="77777777" w:rsidTr="002B7760">
        <w:tc>
          <w:tcPr>
            <w:tcW w:w="1915" w:type="dxa"/>
          </w:tcPr>
          <w:p w14:paraId="151BD964" w14:textId="77777777" w:rsidR="00D11EB5" w:rsidRDefault="00D11EB5" w:rsidP="002B7760">
            <w:pPr>
              <w:pStyle w:val="NoSpacing"/>
              <w:jc w:val="center"/>
            </w:pPr>
            <w:r>
              <w:t>1</w:t>
            </w:r>
          </w:p>
        </w:tc>
        <w:tc>
          <w:tcPr>
            <w:tcW w:w="1915" w:type="dxa"/>
          </w:tcPr>
          <w:p w14:paraId="686F8A0C" w14:textId="77777777" w:rsidR="00D11EB5" w:rsidRDefault="00D11EB5" w:rsidP="002B7760">
            <w:pPr>
              <w:pStyle w:val="NoSpacing"/>
              <w:jc w:val="center"/>
            </w:pPr>
            <w:r>
              <w:t>2</w:t>
            </w:r>
          </w:p>
        </w:tc>
        <w:tc>
          <w:tcPr>
            <w:tcW w:w="1915" w:type="dxa"/>
          </w:tcPr>
          <w:p w14:paraId="1A0FDB75" w14:textId="77777777" w:rsidR="00D11EB5" w:rsidRDefault="00D11EB5" w:rsidP="002B7760">
            <w:pPr>
              <w:pStyle w:val="NoSpacing"/>
              <w:jc w:val="center"/>
            </w:pPr>
            <w:r>
              <w:t>3</w:t>
            </w:r>
          </w:p>
        </w:tc>
        <w:tc>
          <w:tcPr>
            <w:tcW w:w="1915" w:type="dxa"/>
          </w:tcPr>
          <w:p w14:paraId="6D62DCF6" w14:textId="77777777" w:rsidR="00D11EB5" w:rsidRDefault="00D11EB5" w:rsidP="002B7760">
            <w:pPr>
              <w:pStyle w:val="NoSpacing"/>
              <w:jc w:val="center"/>
            </w:pPr>
            <w:r>
              <w:t>4</w:t>
            </w:r>
          </w:p>
        </w:tc>
        <w:tc>
          <w:tcPr>
            <w:tcW w:w="1916" w:type="dxa"/>
          </w:tcPr>
          <w:p w14:paraId="04C3B1D2" w14:textId="77777777" w:rsidR="00D11EB5" w:rsidRDefault="00D11EB5" w:rsidP="002B7760">
            <w:pPr>
              <w:pStyle w:val="NoSpacing"/>
              <w:jc w:val="center"/>
            </w:pPr>
            <w:r>
              <w:t>5</w:t>
            </w:r>
          </w:p>
        </w:tc>
      </w:tr>
    </w:tbl>
    <w:p w14:paraId="501B7B2A" w14:textId="77777777" w:rsidR="00D11EB5" w:rsidRDefault="00D11EB5" w:rsidP="00D11EB5">
      <w:pPr>
        <w:pStyle w:val="NoSpacing"/>
      </w:pPr>
    </w:p>
    <w:p w14:paraId="4950EB2D" w14:textId="77777777" w:rsidR="00D11EB5" w:rsidRDefault="00D11EB5" w:rsidP="00D11EB5">
      <w:pPr>
        <w:pStyle w:val="NoSpacing"/>
      </w:pPr>
    </w:p>
    <w:p w14:paraId="405AECEC" w14:textId="77777777" w:rsidR="00D11EB5" w:rsidRDefault="00D11EB5" w:rsidP="00D11EB5">
      <w:pPr>
        <w:pStyle w:val="NoSpacing"/>
      </w:pPr>
      <w:r>
        <w:t>2) This activity enhanced my understanding.</w:t>
      </w:r>
    </w:p>
    <w:p w14:paraId="7B3FEFD3" w14:textId="77777777" w:rsidR="00D11EB5" w:rsidRDefault="00D11EB5" w:rsidP="00D11E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D11EB5" w14:paraId="5DC9BF4F" w14:textId="77777777" w:rsidTr="002B7760">
        <w:tc>
          <w:tcPr>
            <w:tcW w:w="1915" w:type="dxa"/>
          </w:tcPr>
          <w:p w14:paraId="5EE0668A" w14:textId="77777777" w:rsidR="00D11EB5" w:rsidRDefault="00D11EB5" w:rsidP="002B7760">
            <w:pPr>
              <w:pStyle w:val="NoSpacing"/>
              <w:jc w:val="center"/>
            </w:pPr>
            <w:r>
              <w:t>Strongly Disagree</w:t>
            </w:r>
          </w:p>
          <w:p w14:paraId="61CAA3C2" w14:textId="77777777" w:rsidR="00D11EB5" w:rsidRDefault="00D11EB5" w:rsidP="002B7760">
            <w:pPr>
              <w:pStyle w:val="NoSpacing"/>
              <w:jc w:val="center"/>
            </w:pPr>
          </w:p>
        </w:tc>
        <w:tc>
          <w:tcPr>
            <w:tcW w:w="1915" w:type="dxa"/>
          </w:tcPr>
          <w:p w14:paraId="35F92B55" w14:textId="77777777" w:rsidR="00D11EB5" w:rsidRDefault="00D11EB5" w:rsidP="002B7760">
            <w:pPr>
              <w:pStyle w:val="NoSpacing"/>
              <w:jc w:val="center"/>
            </w:pPr>
            <w:r>
              <w:t>Disagree</w:t>
            </w:r>
          </w:p>
        </w:tc>
        <w:tc>
          <w:tcPr>
            <w:tcW w:w="1915" w:type="dxa"/>
          </w:tcPr>
          <w:p w14:paraId="33003E43" w14:textId="77777777" w:rsidR="00D11EB5" w:rsidRDefault="00D11EB5" w:rsidP="002B7760">
            <w:pPr>
              <w:pStyle w:val="NoSpacing"/>
              <w:jc w:val="center"/>
            </w:pPr>
            <w:r>
              <w:t>Undecided</w:t>
            </w:r>
          </w:p>
        </w:tc>
        <w:tc>
          <w:tcPr>
            <w:tcW w:w="1915" w:type="dxa"/>
          </w:tcPr>
          <w:p w14:paraId="2B6156C6" w14:textId="77777777" w:rsidR="00D11EB5" w:rsidRDefault="00D11EB5" w:rsidP="002B7760">
            <w:pPr>
              <w:pStyle w:val="NoSpacing"/>
              <w:jc w:val="center"/>
            </w:pPr>
            <w:r>
              <w:t>Agree</w:t>
            </w:r>
          </w:p>
        </w:tc>
        <w:tc>
          <w:tcPr>
            <w:tcW w:w="1916" w:type="dxa"/>
          </w:tcPr>
          <w:p w14:paraId="504AB9E1" w14:textId="77777777" w:rsidR="00D11EB5" w:rsidRDefault="00D11EB5" w:rsidP="002B7760">
            <w:pPr>
              <w:pStyle w:val="NoSpacing"/>
              <w:jc w:val="center"/>
            </w:pPr>
            <w:r>
              <w:t>Strongly Agree</w:t>
            </w:r>
          </w:p>
        </w:tc>
      </w:tr>
      <w:tr w:rsidR="00D11EB5" w14:paraId="3DE6DDB8" w14:textId="77777777" w:rsidTr="002B7760">
        <w:tc>
          <w:tcPr>
            <w:tcW w:w="1915" w:type="dxa"/>
          </w:tcPr>
          <w:p w14:paraId="1FBD19FC" w14:textId="77777777" w:rsidR="00D11EB5" w:rsidRDefault="00D11EB5" w:rsidP="002B7760">
            <w:pPr>
              <w:pStyle w:val="NoSpacing"/>
              <w:jc w:val="center"/>
            </w:pPr>
            <w:r>
              <w:t>1</w:t>
            </w:r>
          </w:p>
        </w:tc>
        <w:tc>
          <w:tcPr>
            <w:tcW w:w="1915" w:type="dxa"/>
          </w:tcPr>
          <w:p w14:paraId="349A9BAF" w14:textId="77777777" w:rsidR="00D11EB5" w:rsidRDefault="00D11EB5" w:rsidP="002B7760">
            <w:pPr>
              <w:pStyle w:val="NoSpacing"/>
              <w:jc w:val="center"/>
            </w:pPr>
            <w:r>
              <w:t>2</w:t>
            </w:r>
          </w:p>
        </w:tc>
        <w:tc>
          <w:tcPr>
            <w:tcW w:w="1915" w:type="dxa"/>
          </w:tcPr>
          <w:p w14:paraId="2A5358D3" w14:textId="77777777" w:rsidR="00D11EB5" w:rsidRDefault="00D11EB5" w:rsidP="002B7760">
            <w:pPr>
              <w:pStyle w:val="NoSpacing"/>
              <w:jc w:val="center"/>
            </w:pPr>
            <w:r>
              <w:t>3</w:t>
            </w:r>
          </w:p>
        </w:tc>
        <w:tc>
          <w:tcPr>
            <w:tcW w:w="1915" w:type="dxa"/>
          </w:tcPr>
          <w:p w14:paraId="5A835EBB" w14:textId="77777777" w:rsidR="00D11EB5" w:rsidRDefault="00D11EB5" w:rsidP="002B7760">
            <w:pPr>
              <w:pStyle w:val="NoSpacing"/>
              <w:jc w:val="center"/>
            </w:pPr>
            <w:r>
              <w:t>4</w:t>
            </w:r>
          </w:p>
        </w:tc>
        <w:tc>
          <w:tcPr>
            <w:tcW w:w="1916" w:type="dxa"/>
          </w:tcPr>
          <w:p w14:paraId="7CD62218" w14:textId="77777777" w:rsidR="00D11EB5" w:rsidRDefault="00D11EB5" w:rsidP="002B7760">
            <w:pPr>
              <w:pStyle w:val="NoSpacing"/>
              <w:jc w:val="center"/>
            </w:pPr>
            <w:r>
              <w:t>5</w:t>
            </w:r>
          </w:p>
        </w:tc>
      </w:tr>
    </w:tbl>
    <w:p w14:paraId="5CD49E01" w14:textId="77777777" w:rsidR="00D11EB5" w:rsidRDefault="00D11EB5" w:rsidP="00D11EB5">
      <w:pPr>
        <w:pStyle w:val="NoSpacing"/>
      </w:pPr>
    </w:p>
    <w:p w14:paraId="63BE751C" w14:textId="77777777" w:rsidR="00D11EB5" w:rsidRDefault="00D11EB5" w:rsidP="00D11EB5">
      <w:pPr>
        <w:pStyle w:val="NoSpacing"/>
      </w:pPr>
    </w:p>
    <w:p w14:paraId="1C9FB0D4" w14:textId="77777777" w:rsidR="00D11EB5" w:rsidRDefault="00D11EB5" w:rsidP="00D11EB5">
      <w:pPr>
        <w:pStyle w:val="NoSpacing"/>
      </w:pPr>
      <w:r>
        <w:t>3) The information from this activity is relevant to my practice.</w:t>
      </w:r>
    </w:p>
    <w:p w14:paraId="354F7FF2" w14:textId="77777777" w:rsidR="00D11EB5" w:rsidRDefault="00D11EB5" w:rsidP="00D11EB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D11EB5" w14:paraId="6DDD0EAC" w14:textId="77777777" w:rsidTr="002B7760">
        <w:tc>
          <w:tcPr>
            <w:tcW w:w="1915" w:type="dxa"/>
          </w:tcPr>
          <w:p w14:paraId="45EC32F7" w14:textId="77777777" w:rsidR="00D11EB5" w:rsidRDefault="00D11EB5" w:rsidP="002B7760">
            <w:pPr>
              <w:pStyle w:val="NoSpacing"/>
              <w:jc w:val="center"/>
            </w:pPr>
            <w:r>
              <w:t>Strongly Disagree</w:t>
            </w:r>
          </w:p>
          <w:p w14:paraId="116C1596" w14:textId="77777777" w:rsidR="00D11EB5" w:rsidRDefault="00D11EB5" w:rsidP="002B7760">
            <w:pPr>
              <w:pStyle w:val="NoSpacing"/>
              <w:jc w:val="center"/>
            </w:pPr>
          </w:p>
        </w:tc>
        <w:tc>
          <w:tcPr>
            <w:tcW w:w="1915" w:type="dxa"/>
          </w:tcPr>
          <w:p w14:paraId="7A84C586" w14:textId="77777777" w:rsidR="00D11EB5" w:rsidRDefault="00D11EB5" w:rsidP="002B7760">
            <w:pPr>
              <w:pStyle w:val="NoSpacing"/>
              <w:jc w:val="center"/>
            </w:pPr>
            <w:r>
              <w:t>Disagree</w:t>
            </w:r>
          </w:p>
        </w:tc>
        <w:tc>
          <w:tcPr>
            <w:tcW w:w="1915" w:type="dxa"/>
          </w:tcPr>
          <w:p w14:paraId="529AA20F" w14:textId="77777777" w:rsidR="00D11EB5" w:rsidRDefault="00D11EB5" w:rsidP="002B7760">
            <w:pPr>
              <w:pStyle w:val="NoSpacing"/>
              <w:jc w:val="center"/>
            </w:pPr>
            <w:r>
              <w:t>Undecided</w:t>
            </w:r>
          </w:p>
        </w:tc>
        <w:tc>
          <w:tcPr>
            <w:tcW w:w="1915" w:type="dxa"/>
          </w:tcPr>
          <w:p w14:paraId="1148075F" w14:textId="77777777" w:rsidR="00D11EB5" w:rsidRDefault="00D11EB5" w:rsidP="002B7760">
            <w:pPr>
              <w:pStyle w:val="NoSpacing"/>
              <w:jc w:val="center"/>
            </w:pPr>
            <w:r>
              <w:t>Agree</w:t>
            </w:r>
          </w:p>
        </w:tc>
        <w:tc>
          <w:tcPr>
            <w:tcW w:w="1916" w:type="dxa"/>
          </w:tcPr>
          <w:p w14:paraId="134F8CE6" w14:textId="77777777" w:rsidR="00D11EB5" w:rsidRDefault="00D11EB5" w:rsidP="002B7760">
            <w:pPr>
              <w:pStyle w:val="NoSpacing"/>
              <w:jc w:val="center"/>
            </w:pPr>
            <w:r>
              <w:t>Strongly Agree</w:t>
            </w:r>
          </w:p>
        </w:tc>
      </w:tr>
      <w:tr w:rsidR="00D11EB5" w14:paraId="0D8BC7C9" w14:textId="77777777" w:rsidTr="002B7760">
        <w:tc>
          <w:tcPr>
            <w:tcW w:w="1915" w:type="dxa"/>
          </w:tcPr>
          <w:p w14:paraId="5488C263" w14:textId="77777777" w:rsidR="00D11EB5" w:rsidRDefault="00D11EB5" w:rsidP="002B7760">
            <w:pPr>
              <w:pStyle w:val="NoSpacing"/>
              <w:jc w:val="center"/>
            </w:pPr>
            <w:r>
              <w:t>1</w:t>
            </w:r>
          </w:p>
        </w:tc>
        <w:tc>
          <w:tcPr>
            <w:tcW w:w="1915" w:type="dxa"/>
          </w:tcPr>
          <w:p w14:paraId="1D962B01" w14:textId="77777777" w:rsidR="00D11EB5" w:rsidRDefault="00D11EB5" w:rsidP="002B7760">
            <w:pPr>
              <w:pStyle w:val="NoSpacing"/>
              <w:jc w:val="center"/>
            </w:pPr>
            <w:r>
              <w:t>2</w:t>
            </w:r>
          </w:p>
        </w:tc>
        <w:tc>
          <w:tcPr>
            <w:tcW w:w="1915" w:type="dxa"/>
          </w:tcPr>
          <w:p w14:paraId="24FC9371" w14:textId="77777777" w:rsidR="00D11EB5" w:rsidRDefault="00D11EB5" w:rsidP="002B7760">
            <w:pPr>
              <w:pStyle w:val="NoSpacing"/>
              <w:jc w:val="center"/>
            </w:pPr>
            <w:r>
              <w:t>3</w:t>
            </w:r>
          </w:p>
        </w:tc>
        <w:tc>
          <w:tcPr>
            <w:tcW w:w="1915" w:type="dxa"/>
          </w:tcPr>
          <w:p w14:paraId="08B113DF" w14:textId="77777777" w:rsidR="00D11EB5" w:rsidRDefault="00D11EB5" w:rsidP="002B7760">
            <w:pPr>
              <w:pStyle w:val="NoSpacing"/>
              <w:jc w:val="center"/>
            </w:pPr>
            <w:r>
              <w:t>4</w:t>
            </w:r>
          </w:p>
        </w:tc>
        <w:tc>
          <w:tcPr>
            <w:tcW w:w="1916" w:type="dxa"/>
          </w:tcPr>
          <w:p w14:paraId="0C53FFDF" w14:textId="77777777" w:rsidR="00D11EB5" w:rsidRDefault="00D11EB5" w:rsidP="002B7760">
            <w:pPr>
              <w:pStyle w:val="NoSpacing"/>
              <w:jc w:val="center"/>
            </w:pPr>
            <w:r>
              <w:t>5</w:t>
            </w:r>
          </w:p>
        </w:tc>
      </w:tr>
    </w:tbl>
    <w:p w14:paraId="467C1F38" w14:textId="77777777" w:rsidR="00D11EB5" w:rsidRPr="009710F8" w:rsidRDefault="00D11EB5" w:rsidP="00D11EB5">
      <w:pPr>
        <w:pStyle w:val="NoSpacing"/>
      </w:pPr>
    </w:p>
    <w:p w14:paraId="271FCEC8" w14:textId="77777777" w:rsidR="00E814BB" w:rsidRPr="009710F8" w:rsidRDefault="00E814BB" w:rsidP="009710F8">
      <w:pPr>
        <w:pStyle w:val="NoSpacing"/>
      </w:pPr>
    </w:p>
    <w:sectPr w:rsidR="00E814BB" w:rsidRPr="009710F8">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5F235" w14:textId="77777777" w:rsidR="006E7BC0" w:rsidRDefault="006E7BC0" w:rsidP="00F042D2">
      <w:pPr>
        <w:spacing w:after="0" w:line="240" w:lineRule="auto"/>
      </w:pPr>
      <w:r>
        <w:separator/>
      </w:r>
    </w:p>
  </w:endnote>
  <w:endnote w:type="continuationSeparator" w:id="0">
    <w:p w14:paraId="21F0BB6E" w14:textId="77777777" w:rsidR="006E7BC0" w:rsidRDefault="006E7BC0"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5332E196" w:rsidR="00022D1C" w:rsidRPr="00022D1C" w:rsidRDefault="00D11EB5" w:rsidP="00022D1C">
    <w:pPr>
      <w:pStyle w:val="Footer"/>
      <w:rPr>
        <w:color w:val="B4B9BF"/>
        <w:sz w:val="20"/>
        <w:szCs w:val="20"/>
      </w:rPr>
    </w:pPr>
    <w:r>
      <w:rPr>
        <w:color w:val="B4B9BF"/>
        <w:sz w:val="20"/>
        <w:szCs w:val="20"/>
      </w:rPr>
      <w:t>Soraya Azari, MD</w:t>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05AAC215" w:rsidR="00022D1C" w:rsidRPr="00022D1C" w:rsidRDefault="00D11EB5" w:rsidP="00022D1C">
    <w:pPr>
      <w:pStyle w:val="Footer"/>
      <w:rPr>
        <w:color w:val="B4B9BF"/>
        <w:sz w:val="20"/>
        <w:szCs w:val="20"/>
      </w:rPr>
    </w:pPr>
    <w:r>
      <w:rPr>
        <w:color w:val="B4B9BF"/>
        <w:sz w:val="20"/>
        <w:szCs w:val="20"/>
      </w:rPr>
      <w:t>UCSF Division of General Internal Medicine at Zuckerberg San Francisco General Hospital</w:t>
    </w:r>
  </w:p>
  <w:p w14:paraId="79BE677F" w14:textId="77777777" w:rsidR="00022D1C" w:rsidRPr="00022D1C" w:rsidRDefault="00022D1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1530E" w14:textId="77777777" w:rsidR="006E7BC0" w:rsidRDefault="006E7BC0" w:rsidP="00F042D2">
      <w:pPr>
        <w:spacing w:after="0" w:line="240" w:lineRule="auto"/>
      </w:pPr>
      <w:r>
        <w:separator/>
      </w:r>
    </w:p>
  </w:footnote>
  <w:footnote w:type="continuationSeparator" w:id="0">
    <w:p w14:paraId="2DB3627E" w14:textId="77777777" w:rsidR="006E7BC0" w:rsidRDefault="006E7BC0"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6E7BC0">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77777777" w:rsidR="00F042D2" w:rsidRDefault="00022D1C">
    <w:pPr>
      <w:pStyle w:val="Header"/>
      <w:rPr>
        <w:b/>
      </w:rPr>
    </w:pPr>
    <w:r>
      <w:rPr>
        <w:noProof/>
      </w:rPr>
      <w:drawing>
        <wp:anchor distT="0" distB="0" distL="114300" distR="114300" simplePos="0" relativeHeight="251659264" behindDoc="0" locked="0" layoutInCell="1" allowOverlap="1" wp14:anchorId="447C5A04" wp14:editId="7196139B">
          <wp:simplePos x="0" y="0"/>
          <wp:positionH relativeFrom="column">
            <wp:posOffset>5257800</wp:posOffset>
          </wp:positionH>
          <wp:positionV relativeFrom="paragraph">
            <wp:posOffset>-114300</wp:posOffset>
          </wp:positionV>
          <wp:extent cx="653415" cy="653415"/>
          <wp:effectExtent l="0" t="0" r="698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logo.png"/>
                  <pic:cNvPicPr/>
                </pic:nvPicPr>
                <pic:blipFill>
                  <a:blip r:embed="rId1">
                    <a:extLst>
                      <a:ext uri="{28A0092B-C50C-407E-A947-70E740481C1C}">
                        <a14:useLocalDpi xmlns:a14="http://schemas.microsoft.com/office/drawing/2010/main" val="0"/>
                      </a:ext>
                    </a:extLst>
                  </a:blip>
                  <a:stretch>
                    <a:fillRect/>
                  </a:stretch>
                </pic:blipFill>
                <pic:spPr>
                  <a:xfrm>
                    <a:off x="0" y="0"/>
                    <a:ext cx="653415" cy="6534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7B1E71" wp14:editId="7F4B95B6">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t>The UCSF Double Helix Curriculum:</w:t>
    </w:r>
  </w:p>
  <w:p w14:paraId="3028F313" w14:textId="77777777"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2B2131"/>
    <w:rsid w:val="0037176D"/>
    <w:rsid w:val="003D727C"/>
    <w:rsid w:val="004B05BC"/>
    <w:rsid w:val="006B4A19"/>
    <w:rsid w:val="006E7BC0"/>
    <w:rsid w:val="008C210B"/>
    <w:rsid w:val="009710F8"/>
    <w:rsid w:val="00A702E5"/>
    <w:rsid w:val="00D11EB5"/>
    <w:rsid w:val="00D83B4F"/>
    <w:rsid w:val="00DE1F92"/>
    <w:rsid w:val="00E0678A"/>
    <w:rsid w:val="00E2691E"/>
    <w:rsid w:val="00E814BB"/>
    <w:rsid w:val="00F0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641BF0"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641BF0"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641BF0"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523089"/>
    <w:rsid w:val="00641BF0"/>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2190-6607-4AAA-AF25-B0681CEB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2017-01-17T18:33:00Z</dcterms:created>
  <dcterms:modified xsi:type="dcterms:W3CDTF">2017-01-17T18:33:00Z</dcterms:modified>
</cp:coreProperties>
</file>